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保定幼专职称评审推荐量化（薪级晋升）打分表</w:t>
      </w:r>
    </w:p>
    <w:p>
      <w:pPr>
        <w:rPr>
          <w:sz w:val="28"/>
          <w:szCs w:val="28"/>
        </w:rPr>
      </w:pPr>
      <w:r>
        <w:rPr>
          <w:rFonts w:hint="eastAsia"/>
          <w:sz w:val="28"/>
          <w:szCs w:val="28"/>
        </w:rPr>
        <w:t>姓名：                    总分：</w:t>
      </w:r>
    </w:p>
    <w:tbl>
      <w:tblPr>
        <w:tblStyle w:val="7"/>
        <w:tblpPr w:leftFromText="180" w:rightFromText="180" w:vertAnchor="text" w:horzAnchor="margin" w:tblpXSpec="center" w:tblpY="1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774"/>
        <w:gridCol w:w="5253"/>
        <w:gridCol w:w="476"/>
        <w:gridCol w:w="569"/>
        <w:gridCol w:w="7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9" w:type="dxa"/>
            <w:vAlign w:val="center"/>
          </w:tcPr>
          <w:p>
            <w:pPr>
              <w:jc w:val="center"/>
            </w:pPr>
            <w:r>
              <w:rPr>
                <w:rFonts w:hint="eastAsia"/>
              </w:rPr>
              <w:t>项目</w:t>
            </w:r>
          </w:p>
        </w:tc>
        <w:tc>
          <w:tcPr>
            <w:tcW w:w="774" w:type="dxa"/>
            <w:vAlign w:val="center"/>
          </w:tcPr>
          <w:p>
            <w:pPr>
              <w:jc w:val="center"/>
            </w:pPr>
            <w:r>
              <w:t>评分项目</w:t>
            </w:r>
          </w:p>
        </w:tc>
        <w:tc>
          <w:tcPr>
            <w:tcW w:w="5254" w:type="dxa"/>
            <w:vAlign w:val="center"/>
          </w:tcPr>
          <w:p>
            <w:pPr>
              <w:jc w:val="center"/>
            </w:pPr>
            <w:r>
              <w:t>评审内容</w:t>
            </w:r>
          </w:p>
        </w:tc>
        <w:tc>
          <w:tcPr>
            <w:tcW w:w="0" w:type="auto"/>
            <w:vAlign w:val="center"/>
          </w:tcPr>
          <w:p>
            <w:pPr>
              <w:jc w:val="center"/>
            </w:pPr>
            <w:r>
              <w:t>满分</w:t>
            </w:r>
          </w:p>
        </w:tc>
        <w:tc>
          <w:tcPr>
            <w:tcW w:w="0" w:type="auto"/>
            <w:vAlign w:val="center"/>
          </w:tcPr>
          <w:p>
            <w:pPr>
              <w:jc w:val="center"/>
            </w:pPr>
            <w:r>
              <w:t>实际得分</w:t>
            </w:r>
          </w:p>
        </w:tc>
        <w:tc>
          <w:tcPr>
            <w:tcW w:w="0" w:type="auto"/>
            <w:vAlign w:val="center"/>
          </w:tcPr>
          <w:p>
            <w:pPr>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9" w:type="dxa"/>
            <w:vMerge w:val="restart"/>
            <w:vAlign w:val="center"/>
          </w:tcPr>
          <w:p>
            <w:pPr>
              <w:jc w:val="center"/>
            </w:pPr>
            <w:r>
              <w:rPr>
                <w:rFonts w:hint="eastAsia"/>
              </w:rPr>
              <w:t>基本情况</w:t>
            </w:r>
          </w:p>
          <w:p>
            <w:pPr>
              <w:jc w:val="center"/>
            </w:pPr>
            <w:r>
              <w:rPr>
                <w:rFonts w:hint="eastAsia"/>
              </w:rPr>
              <w:t>（15分）</w:t>
            </w:r>
          </w:p>
        </w:tc>
        <w:tc>
          <w:tcPr>
            <w:tcW w:w="774" w:type="dxa"/>
            <w:vAlign w:val="center"/>
          </w:tcPr>
          <w:p>
            <w:pPr>
              <w:jc w:val="center"/>
            </w:pPr>
            <w:r>
              <w:rPr>
                <w:rFonts w:hint="eastAsia"/>
              </w:rPr>
              <w:t>学历学位</w:t>
            </w:r>
          </w:p>
        </w:tc>
        <w:tc>
          <w:tcPr>
            <w:tcW w:w="5254" w:type="dxa"/>
            <w:vAlign w:val="center"/>
          </w:tcPr>
          <w:p>
            <w:r>
              <w:rPr>
                <w:rFonts w:hint="eastAsia"/>
              </w:rPr>
              <w:t>1．国家承认学历（位）：博士研究生学历和博士学位记5分；博士学位记4.5分；研究生学历和硕士学位记4分；研究生学历或硕士学位记3分；本科学历和学士学位记2分；本科学历(无学位)记1分。</w:t>
            </w:r>
          </w:p>
        </w:tc>
        <w:tc>
          <w:tcPr>
            <w:tcW w:w="0" w:type="auto"/>
            <w:vAlign w:val="center"/>
          </w:tcPr>
          <w:p>
            <w:pPr>
              <w:jc w:val="center"/>
            </w:pPr>
            <w:r>
              <w:rPr>
                <w:rFonts w:hint="eastAsia"/>
              </w:rPr>
              <w:t>5</w:t>
            </w:r>
          </w:p>
        </w:tc>
        <w:tc>
          <w:tcPr>
            <w:tcW w:w="0" w:type="auto"/>
            <w:vAlign w:val="center"/>
          </w:tcPr>
          <w:p>
            <w:pPr>
              <w:jc w:val="center"/>
            </w:pPr>
          </w:p>
        </w:tc>
        <w:tc>
          <w:tcPr>
            <w:tcW w:w="0" w:type="auto"/>
            <w:vAlign w:val="center"/>
          </w:tcPr>
          <w:p>
            <w:pPr>
              <w:jc w:val="center"/>
            </w:pPr>
            <w:r>
              <w:rPr>
                <w:rFonts w:hint="eastAsia"/>
              </w:rPr>
              <w:t>按最高学历或学位计分，由</w:t>
            </w:r>
            <w:r>
              <w:t>人事处核实赋分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9" w:type="dxa"/>
            <w:vMerge w:val="continue"/>
            <w:vAlign w:val="center"/>
          </w:tcPr>
          <w:p>
            <w:pPr>
              <w:jc w:val="center"/>
            </w:pPr>
          </w:p>
        </w:tc>
        <w:tc>
          <w:tcPr>
            <w:tcW w:w="774" w:type="dxa"/>
            <w:vAlign w:val="center"/>
          </w:tcPr>
          <w:p>
            <w:pPr>
              <w:jc w:val="center"/>
            </w:pPr>
            <w:r>
              <w:rPr>
                <w:rFonts w:hint="eastAsia"/>
              </w:rPr>
              <w:t>双师型教师</w:t>
            </w:r>
          </w:p>
        </w:tc>
        <w:tc>
          <w:tcPr>
            <w:tcW w:w="5254" w:type="dxa"/>
            <w:vAlign w:val="center"/>
          </w:tcPr>
          <w:p>
            <w:r>
              <w:rPr>
                <w:rFonts w:hint="eastAsia"/>
              </w:rPr>
              <w:t>通过教务处组织的双师型教师考核，且在省教育厅备案。</w:t>
            </w:r>
          </w:p>
        </w:tc>
        <w:tc>
          <w:tcPr>
            <w:tcW w:w="0" w:type="auto"/>
            <w:vAlign w:val="center"/>
          </w:tcPr>
          <w:p>
            <w:pPr>
              <w:jc w:val="center"/>
            </w:pPr>
            <w:r>
              <w:rPr>
                <w:rFonts w:hint="eastAsia"/>
              </w:rPr>
              <w:t>3</w:t>
            </w:r>
          </w:p>
        </w:tc>
        <w:tc>
          <w:tcPr>
            <w:tcW w:w="0" w:type="auto"/>
            <w:vAlign w:val="center"/>
          </w:tcPr>
          <w:p>
            <w:pPr>
              <w:jc w:val="center"/>
            </w:pPr>
          </w:p>
        </w:tc>
        <w:tc>
          <w:tcPr>
            <w:tcW w:w="0" w:type="auto"/>
            <w:vAlign w:val="center"/>
          </w:tcPr>
          <w:p>
            <w:pPr>
              <w:jc w:val="center"/>
            </w:pPr>
            <w:r>
              <w:t>人事处核实赋分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9" w:type="dxa"/>
            <w:vMerge w:val="continue"/>
            <w:vAlign w:val="center"/>
          </w:tcPr>
          <w:p>
            <w:pPr>
              <w:jc w:val="center"/>
            </w:pPr>
          </w:p>
        </w:tc>
        <w:tc>
          <w:tcPr>
            <w:tcW w:w="774" w:type="dxa"/>
            <w:vAlign w:val="center"/>
          </w:tcPr>
          <w:p>
            <w:pPr>
              <w:jc w:val="center"/>
            </w:pPr>
            <w:r>
              <w:rPr>
                <w:rFonts w:hint="eastAsia"/>
              </w:rPr>
              <w:t>任现职年限</w:t>
            </w:r>
          </w:p>
        </w:tc>
        <w:tc>
          <w:tcPr>
            <w:tcW w:w="5254" w:type="dxa"/>
            <w:vAlign w:val="center"/>
          </w:tcPr>
          <w:p/>
          <w:p>
            <w:r>
              <w:rPr>
                <w:rFonts w:hint="eastAsia"/>
              </w:rPr>
              <w:t>0.5分/年。</w:t>
            </w:r>
          </w:p>
          <w:p/>
        </w:tc>
        <w:tc>
          <w:tcPr>
            <w:tcW w:w="0" w:type="auto"/>
            <w:vAlign w:val="center"/>
          </w:tcPr>
          <w:p>
            <w:pPr>
              <w:jc w:val="center"/>
            </w:pPr>
            <w:r>
              <w:rPr>
                <w:rFonts w:hint="eastAsia"/>
              </w:rPr>
              <w:t>7</w:t>
            </w:r>
          </w:p>
        </w:tc>
        <w:tc>
          <w:tcPr>
            <w:tcW w:w="0" w:type="auto"/>
            <w:vAlign w:val="center"/>
          </w:tcPr>
          <w:p>
            <w:pPr>
              <w:jc w:val="center"/>
            </w:pPr>
          </w:p>
        </w:tc>
        <w:tc>
          <w:tcPr>
            <w:tcW w:w="0" w:type="auto"/>
            <w:vAlign w:val="center"/>
          </w:tcPr>
          <w:p>
            <w:pPr>
              <w:jc w:val="center"/>
              <w:rPr>
                <w:szCs w:val="21"/>
              </w:rPr>
            </w:pPr>
            <w:r>
              <w:rPr>
                <w:rFonts w:hint="eastAsia"/>
                <w:szCs w:val="21"/>
              </w:rPr>
              <w:t>以周年计算，</w:t>
            </w:r>
            <w:r>
              <w:rPr>
                <w:szCs w:val="21"/>
              </w:rPr>
              <w:t>人事处</w:t>
            </w:r>
            <w:r>
              <w:rPr>
                <w:rFonts w:hint="eastAsia"/>
                <w:szCs w:val="21"/>
              </w:rPr>
              <w:t>核实</w:t>
            </w:r>
            <w:r>
              <w:rPr>
                <w:szCs w:val="21"/>
              </w:rPr>
              <w:t>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9" w:type="dxa"/>
            <w:vMerge w:val="restart"/>
            <w:vAlign w:val="center"/>
          </w:tcPr>
          <w:p>
            <w:pPr>
              <w:jc w:val="center"/>
            </w:pPr>
            <w:r>
              <w:t>工作表现</w:t>
            </w:r>
          </w:p>
          <w:p>
            <w:pPr>
              <w:jc w:val="center"/>
            </w:pPr>
            <w:r>
              <w:rPr>
                <w:rFonts w:hint="eastAsia"/>
              </w:rPr>
              <w:t>（45分）</w:t>
            </w:r>
          </w:p>
        </w:tc>
        <w:tc>
          <w:tcPr>
            <w:tcW w:w="774" w:type="dxa"/>
            <w:vMerge w:val="restart"/>
            <w:vAlign w:val="center"/>
          </w:tcPr>
          <w:p>
            <w:pPr>
              <w:jc w:val="center"/>
            </w:pPr>
            <w:r>
              <w:rPr>
                <w:rFonts w:hint="eastAsia"/>
              </w:rPr>
              <w:t>工作评价</w:t>
            </w:r>
          </w:p>
        </w:tc>
        <w:tc>
          <w:tcPr>
            <w:tcW w:w="5254" w:type="dxa"/>
            <w:vAlign w:val="center"/>
          </w:tcPr>
          <w:p>
            <w:r>
              <w:rPr>
                <w:rFonts w:hint="eastAsia"/>
              </w:rPr>
              <w:t>师德师风等建设情况</w:t>
            </w:r>
          </w:p>
          <w:p>
            <w:r>
              <w:rPr>
                <w:rFonts w:hint="eastAsia"/>
              </w:rPr>
              <w:t>1、在师德师风、专业建设、课程建设等方面的贡献情况。2、近3年以来学生的评教情况。3、教学工作以外其他工作的完成情况。</w:t>
            </w:r>
          </w:p>
          <w:p>
            <w:r>
              <w:rPr>
                <w:rFonts w:hint="eastAsia"/>
              </w:rPr>
              <w:t>优秀10-15分，良好6-10分，一般1-5分。</w:t>
            </w:r>
          </w:p>
        </w:tc>
        <w:tc>
          <w:tcPr>
            <w:tcW w:w="0" w:type="auto"/>
            <w:vAlign w:val="center"/>
          </w:tcPr>
          <w:p>
            <w:pPr>
              <w:jc w:val="center"/>
            </w:pPr>
            <w:r>
              <w:rPr>
                <w:rFonts w:hint="eastAsia"/>
              </w:rPr>
              <w:t>15</w:t>
            </w:r>
          </w:p>
        </w:tc>
        <w:tc>
          <w:tcPr>
            <w:tcW w:w="0" w:type="auto"/>
            <w:vMerge w:val="restart"/>
            <w:vAlign w:val="center"/>
          </w:tcPr>
          <w:p>
            <w:pPr>
              <w:jc w:val="center"/>
            </w:pPr>
          </w:p>
        </w:tc>
        <w:tc>
          <w:tcPr>
            <w:tcW w:w="0" w:type="auto"/>
            <w:vMerge w:val="restart"/>
            <w:vAlign w:val="center"/>
          </w:tcPr>
          <w:p>
            <w:pPr>
              <w:rPr>
                <w:szCs w:val="21"/>
              </w:rPr>
            </w:pPr>
            <w:r>
              <w:rPr>
                <w:szCs w:val="21"/>
              </w:rPr>
              <w:t>系部书记</w:t>
            </w:r>
            <w:r>
              <w:rPr>
                <w:rFonts w:hint="eastAsia"/>
                <w:szCs w:val="21"/>
              </w:rPr>
              <w:t>、</w:t>
            </w:r>
            <w:r>
              <w:rPr>
                <w:szCs w:val="21"/>
              </w:rPr>
              <w:t>主任</w:t>
            </w:r>
            <w:r>
              <w:rPr>
                <w:rFonts w:hint="eastAsia"/>
                <w:szCs w:val="21"/>
              </w:rPr>
              <w:t>、</w:t>
            </w:r>
            <w:r>
              <w:rPr>
                <w:szCs w:val="21"/>
              </w:rPr>
              <w:t>副主任集体赋分</w:t>
            </w:r>
            <w:r>
              <w:rPr>
                <w:rFonts w:hint="eastAsia"/>
                <w:szCs w:val="21"/>
              </w:rPr>
              <w:t>；兼课的由兼课系部领导和主管领导赋分（重点参照每年的师德考核，尽量减少人为因素。</w:t>
            </w:r>
          </w:p>
          <w:p>
            <w:pPr>
              <w:rPr>
                <w:szCs w:val="21"/>
              </w:rPr>
            </w:pPr>
            <w:r>
              <w:rPr>
                <w:rFonts w:hint="eastAsia"/>
                <w:szCs w:val="21"/>
              </w:rPr>
              <w:t>系部领导集体赋分。工作评价项赋分完毕后，统一核算出所有老师的平均分，核算出各系部参评老师的平均分，根据两者之间的数值差异平衡系部之间标准不统一等人为因素造成的影响。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9" w:type="dxa"/>
            <w:vMerge w:val="continue"/>
            <w:vAlign w:val="center"/>
          </w:tcPr>
          <w:p>
            <w:pPr>
              <w:jc w:val="center"/>
            </w:pPr>
          </w:p>
        </w:tc>
        <w:tc>
          <w:tcPr>
            <w:tcW w:w="774" w:type="dxa"/>
            <w:vMerge w:val="continue"/>
            <w:vAlign w:val="center"/>
          </w:tcPr>
          <w:p>
            <w:pPr>
              <w:jc w:val="center"/>
            </w:pPr>
          </w:p>
        </w:tc>
        <w:tc>
          <w:tcPr>
            <w:tcW w:w="5254" w:type="dxa"/>
            <w:vAlign w:val="center"/>
          </w:tcPr>
          <w:p/>
          <w:p>
            <w:r>
              <w:rPr>
                <w:rFonts w:hint="eastAsia"/>
              </w:rPr>
              <w:t>教学任务完成情况:</w:t>
            </w:r>
          </w:p>
          <w:p>
            <w:r>
              <w:rPr>
                <w:rFonts w:hint="eastAsia"/>
              </w:rPr>
              <w:t>任现职以来完成学校和系部交给的教学工作任务。</w:t>
            </w:r>
          </w:p>
          <w:p>
            <w:r>
              <w:rPr>
                <w:rFonts w:hint="eastAsia"/>
              </w:rPr>
              <w:t>优秀10-15分，良好6-10分，一般1-5分</w:t>
            </w:r>
          </w:p>
        </w:tc>
        <w:tc>
          <w:tcPr>
            <w:tcW w:w="0" w:type="auto"/>
            <w:vAlign w:val="center"/>
          </w:tcPr>
          <w:p>
            <w:pPr>
              <w:jc w:val="center"/>
            </w:pPr>
            <w:r>
              <w:rPr>
                <w:rFonts w:hint="eastAsia"/>
              </w:rPr>
              <w:t>15</w:t>
            </w:r>
          </w:p>
        </w:tc>
        <w:tc>
          <w:tcPr>
            <w:tcW w:w="0" w:type="auto"/>
            <w:vMerge w:val="continue"/>
            <w:vAlign w:val="center"/>
          </w:tcPr>
          <w:p>
            <w:pPr>
              <w:jc w:val="center"/>
            </w:pPr>
          </w:p>
        </w:tc>
        <w:tc>
          <w:tcPr>
            <w:tcW w:w="0" w:type="auto"/>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9" w:type="dxa"/>
            <w:vMerge w:val="continue"/>
            <w:vAlign w:val="center"/>
          </w:tcPr>
          <w:p>
            <w:pPr>
              <w:jc w:val="center"/>
            </w:pPr>
          </w:p>
        </w:tc>
        <w:tc>
          <w:tcPr>
            <w:tcW w:w="774" w:type="dxa"/>
            <w:vAlign w:val="center"/>
          </w:tcPr>
          <w:p>
            <w:pPr>
              <w:jc w:val="center"/>
            </w:pPr>
            <w:r>
              <w:t>年度考核</w:t>
            </w:r>
          </w:p>
        </w:tc>
        <w:tc>
          <w:tcPr>
            <w:tcW w:w="5254" w:type="dxa"/>
            <w:vAlign w:val="center"/>
          </w:tcPr>
          <w:p/>
          <w:p>
            <w:r>
              <w:rPr>
                <w:rFonts w:hint="eastAsia"/>
              </w:rPr>
              <w:t>任现职以来“记功”奖励2分/次； “嘉奖”奖励1分/次。校级优秀0.5分</w:t>
            </w:r>
          </w:p>
          <w:p/>
        </w:tc>
        <w:tc>
          <w:tcPr>
            <w:tcW w:w="0" w:type="auto"/>
            <w:vAlign w:val="center"/>
          </w:tcPr>
          <w:p>
            <w:pPr>
              <w:jc w:val="center"/>
            </w:pPr>
            <w:r>
              <w:rPr>
                <w:rFonts w:hint="eastAsia"/>
              </w:rPr>
              <w:t>5</w:t>
            </w:r>
          </w:p>
        </w:tc>
        <w:tc>
          <w:tcPr>
            <w:tcW w:w="0" w:type="auto"/>
            <w:vAlign w:val="center"/>
          </w:tcPr>
          <w:p>
            <w:pPr>
              <w:jc w:val="center"/>
            </w:pPr>
          </w:p>
        </w:tc>
        <w:tc>
          <w:tcPr>
            <w:tcW w:w="0" w:type="auto"/>
            <w:vAlign w:val="center"/>
          </w:tcPr>
          <w:p>
            <w:r>
              <w:t>人事处核实赋分</w:t>
            </w:r>
            <w:r>
              <w:rPr>
                <w:rFonts w:hint="eastAsia"/>
              </w:rPr>
              <w:t>（在荣誉称号处不再重复积分）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9" w:type="dxa"/>
            <w:vMerge w:val="continue"/>
            <w:vAlign w:val="center"/>
          </w:tcPr>
          <w:p>
            <w:pPr>
              <w:jc w:val="center"/>
            </w:pPr>
          </w:p>
        </w:tc>
        <w:tc>
          <w:tcPr>
            <w:tcW w:w="774" w:type="dxa"/>
            <w:vAlign w:val="center"/>
          </w:tcPr>
          <w:p>
            <w:pPr>
              <w:jc w:val="center"/>
            </w:pPr>
            <w:r>
              <w:rPr>
                <w:rFonts w:hint="eastAsia"/>
              </w:rPr>
              <w:t>荣誉称号</w:t>
            </w:r>
          </w:p>
        </w:tc>
        <w:tc>
          <w:tcPr>
            <w:tcW w:w="5254" w:type="dxa"/>
            <w:vAlign w:val="center"/>
          </w:tcPr>
          <w:p>
            <w:r>
              <w:rPr>
                <w:rFonts w:hint="eastAsia"/>
              </w:rPr>
              <w:t>国家级荣誉称号（5分）；</w:t>
            </w:r>
          </w:p>
          <w:p>
            <w:r>
              <w:rPr>
                <w:rFonts w:hint="eastAsia"/>
              </w:rPr>
              <w:t>省部级荣誉称号（4分）；</w:t>
            </w:r>
          </w:p>
          <w:p>
            <w:r>
              <w:rPr>
                <w:rFonts w:hint="eastAsia"/>
              </w:rPr>
              <w:t>市厅级荣誉称号（3分）；</w:t>
            </w:r>
          </w:p>
          <w:p>
            <w:r>
              <w:rPr>
                <w:rFonts w:hint="eastAsia"/>
              </w:rPr>
              <w:t>县区级荣誉称号（0.5分）；</w:t>
            </w:r>
          </w:p>
          <w:p>
            <w:r>
              <w:rPr>
                <w:rFonts w:hint="eastAsia"/>
              </w:rPr>
              <w:t>校级荣誉称号（0.5分）</w:t>
            </w:r>
          </w:p>
        </w:tc>
        <w:tc>
          <w:tcPr>
            <w:tcW w:w="0" w:type="auto"/>
            <w:vAlign w:val="center"/>
          </w:tcPr>
          <w:p>
            <w:pPr>
              <w:jc w:val="center"/>
            </w:pPr>
            <w:r>
              <w:rPr>
                <w:rFonts w:hint="eastAsia"/>
              </w:rPr>
              <w:t>5</w:t>
            </w:r>
          </w:p>
        </w:tc>
        <w:tc>
          <w:tcPr>
            <w:tcW w:w="0" w:type="auto"/>
            <w:vAlign w:val="center"/>
          </w:tcPr>
          <w:p>
            <w:pPr>
              <w:jc w:val="center"/>
            </w:pPr>
          </w:p>
        </w:tc>
        <w:tc>
          <w:tcPr>
            <w:tcW w:w="0" w:type="auto"/>
            <w:vAlign w:val="center"/>
          </w:tcPr>
          <w:p>
            <w:r>
              <w:t>学术委员会核实级别并赋分</w:t>
            </w:r>
          </w:p>
          <w:p>
            <w:r>
              <w:rPr>
                <w:rFonts w:hint="eastAsia"/>
              </w:rPr>
              <w:t xml:space="preserve">只限各级党委和政府及职能部门颁发的综合性荣誉称号。 </w:t>
            </w:r>
          </w:p>
          <w:p>
            <w:r>
              <w:rPr>
                <w:rFonts w:hint="eastAsia"/>
              </w:rPr>
              <w:t>3.1国家级荣誉称号：</w:t>
            </w:r>
          </w:p>
          <w:p>
            <w:r>
              <w:rPr>
                <w:rFonts w:hint="eastAsia"/>
              </w:rPr>
              <w:t>是指国务院、国家各部（委）与国家人社部联合表彰；或由教育部颁发的教育系统全国性荣誉。如：全国劳动模范、全国模范教师、全国教育系统先进工作者、全国优秀教师、全国优秀教育工作者等。</w:t>
            </w:r>
          </w:p>
          <w:p>
            <w:r>
              <w:rPr>
                <w:rFonts w:hint="eastAsia"/>
              </w:rPr>
              <w:t xml:space="preserve">3.2省部级荣誉称号： </w:t>
            </w:r>
          </w:p>
          <w:p>
            <w:r>
              <w:rPr>
                <w:rFonts w:hint="eastAsia"/>
              </w:rPr>
              <w:t xml:space="preserve">部级荣誉称号，是指国家各部（委）单独进行的表彰奖励。 </w:t>
            </w:r>
          </w:p>
          <w:p>
            <w:r>
              <w:rPr>
                <w:rFonts w:hint="eastAsia"/>
              </w:rPr>
              <w:t>省级荣誉称号，是指以省政府名义表彰、各厅（局）与省人社厅联合表彰，包括由省教育厅、省科技厅、省人力资源和社会保障厅、省教育工会联合颁发的省模范教师、省教育系统先进工作者、省优秀教师、省优秀教育工作者等。</w:t>
            </w:r>
          </w:p>
          <w:p>
            <w:r>
              <w:rPr>
                <w:rFonts w:hint="eastAsia"/>
              </w:rPr>
              <w:t xml:space="preserve">3.3市厅级荣誉称号： </w:t>
            </w:r>
          </w:p>
          <w:p>
            <w:r>
              <w:rPr>
                <w:rFonts w:hint="eastAsia"/>
              </w:rPr>
              <w:t xml:space="preserve">市政府表彰奖励，是指以市政府名义表彰、各局（委、办）与市人社局联合表彰奖励。    </w:t>
            </w:r>
          </w:p>
          <w:p>
            <w:r>
              <w:rPr>
                <w:rFonts w:hint="eastAsia"/>
              </w:rPr>
              <w:t xml:space="preserve">省属厅（局）、省教育科研部门等单独进行的表彰奖励，单向行政、业务工作方面的表彰奖励。包括省教育厅、教育工委、省教育考试院颁发的河北省学校思想政治教育先进工作者、河北省教育工作先进个人、河北省“三育人”先进个人、河北省师德标兵（师德先进个人）、河北省教育考试工作先进个人等。省教育厅、科技厅等业务主管部门授予的单项竞赛优秀指导教师称号按市级对待、其他非业务部门颁发的单项竞赛优秀指导教师称号赋分减半。（县级、校级参照执行）     </w:t>
            </w:r>
          </w:p>
          <w:p>
            <w:r>
              <w:rPr>
                <w:rFonts w:hint="eastAsia"/>
              </w:rPr>
              <w:t>3.4县区级荣誉称号：</w:t>
            </w:r>
          </w:p>
          <w:p>
            <w:r>
              <w:rPr>
                <w:rFonts w:hint="eastAsia"/>
              </w:rPr>
              <w:t>指市级所属局、县区政府颁发的奖项。包括市级所属局、县区政府颁发的模范教师、优秀教师、师德标兵、先进个人、先进教育工作者、教书育人楷模、三八红旗手等。</w:t>
            </w:r>
          </w:p>
          <w:p>
            <w:r>
              <w:rPr>
                <w:rFonts w:hint="eastAsia"/>
              </w:rPr>
              <w:t>3.5校级荣誉称号：</w:t>
            </w:r>
          </w:p>
          <w:p>
            <w:r>
              <w:rPr>
                <w:rFonts w:hint="eastAsia"/>
              </w:rPr>
              <w:t>指县级行政部门、市级所属局业务主管部门、学校颁发的综合性荣誉称号。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9" w:type="dxa"/>
            <w:vMerge w:val="continue"/>
            <w:vAlign w:val="center"/>
          </w:tcPr>
          <w:p>
            <w:pPr>
              <w:jc w:val="center"/>
            </w:pPr>
          </w:p>
        </w:tc>
        <w:tc>
          <w:tcPr>
            <w:tcW w:w="774" w:type="dxa"/>
            <w:vAlign w:val="center"/>
          </w:tcPr>
          <w:p>
            <w:pPr>
              <w:jc w:val="center"/>
            </w:pPr>
            <w:r>
              <w:t>辅导员班主任</w:t>
            </w:r>
          </w:p>
        </w:tc>
        <w:tc>
          <w:tcPr>
            <w:tcW w:w="5254" w:type="dxa"/>
            <w:vAlign w:val="center"/>
          </w:tcPr>
          <w:p/>
          <w:p>
            <w:r>
              <w:rPr>
                <w:rFonts w:hint="eastAsia"/>
              </w:rPr>
              <w:t>兼任辅导员（班主任）工作，任现职以来每年0.5分。</w:t>
            </w:r>
          </w:p>
          <w:p/>
        </w:tc>
        <w:tc>
          <w:tcPr>
            <w:tcW w:w="0" w:type="auto"/>
            <w:vAlign w:val="center"/>
          </w:tcPr>
          <w:p>
            <w:pPr>
              <w:jc w:val="center"/>
            </w:pPr>
            <w:r>
              <w:rPr>
                <w:rFonts w:hint="eastAsia"/>
              </w:rPr>
              <w:t>5</w:t>
            </w:r>
          </w:p>
        </w:tc>
        <w:tc>
          <w:tcPr>
            <w:tcW w:w="0" w:type="auto"/>
            <w:vAlign w:val="center"/>
          </w:tcPr>
          <w:p>
            <w:pPr>
              <w:jc w:val="center"/>
            </w:pPr>
          </w:p>
        </w:tc>
        <w:tc>
          <w:tcPr>
            <w:tcW w:w="0" w:type="auto"/>
            <w:vAlign w:val="center"/>
          </w:tcPr>
          <w:p>
            <w:pPr>
              <w:jc w:val="center"/>
            </w:pPr>
            <w:r>
              <w:t>学生处核实赋分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9" w:type="dxa"/>
            <w:vMerge w:val="restart"/>
            <w:vAlign w:val="center"/>
          </w:tcPr>
          <w:p>
            <w:pPr>
              <w:jc w:val="center"/>
            </w:pPr>
            <w:r>
              <w:t>教学业绩</w:t>
            </w:r>
            <w:r>
              <w:rPr>
                <w:rFonts w:hint="eastAsia"/>
              </w:rPr>
              <w:t>(45分)</w:t>
            </w:r>
          </w:p>
        </w:tc>
        <w:tc>
          <w:tcPr>
            <w:tcW w:w="774" w:type="dxa"/>
            <w:vAlign w:val="center"/>
          </w:tcPr>
          <w:p>
            <w:pPr>
              <w:jc w:val="center"/>
            </w:pPr>
            <w:r>
              <w:rPr>
                <w:rFonts w:hint="eastAsia"/>
              </w:rPr>
              <w:t>业务</w:t>
            </w:r>
            <w:r>
              <w:t>获奖情况</w:t>
            </w:r>
          </w:p>
        </w:tc>
        <w:tc>
          <w:tcPr>
            <w:tcW w:w="5254" w:type="dxa"/>
            <w:vAlign w:val="center"/>
          </w:tcPr>
          <w:p>
            <w:r>
              <w:rPr>
                <w:rFonts w:hint="eastAsia"/>
              </w:rPr>
              <w:t>省级一等奖18分，二等奖12分，三等奖9分，优秀奖5分。</w:t>
            </w:r>
          </w:p>
          <w:p>
            <w:r>
              <w:rPr>
                <w:rFonts w:hint="eastAsia"/>
              </w:rPr>
              <w:t>市级一等奖5分，二等奖3分，三等奖2分，优秀奖1分。</w:t>
            </w:r>
          </w:p>
          <w:p>
            <w:r>
              <w:rPr>
                <w:rFonts w:hint="eastAsia"/>
              </w:rPr>
              <w:t>校级一等奖1分，二等奖0.5分，三等奖0.3分，优秀奖0.2分。</w:t>
            </w:r>
          </w:p>
          <w:p>
            <w:r>
              <w:rPr>
                <w:rFonts w:hint="eastAsia"/>
              </w:rPr>
              <w:t>县级与校级等同。</w:t>
            </w:r>
          </w:p>
        </w:tc>
        <w:tc>
          <w:tcPr>
            <w:tcW w:w="0" w:type="auto"/>
            <w:vAlign w:val="center"/>
          </w:tcPr>
          <w:p>
            <w:pPr>
              <w:jc w:val="center"/>
            </w:pPr>
            <w:r>
              <w:rPr>
                <w:rFonts w:hint="eastAsia"/>
              </w:rPr>
              <w:t>18</w:t>
            </w:r>
          </w:p>
        </w:tc>
        <w:tc>
          <w:tcPr>
            <w:tcW w:w="0" w:type="auto"/>
            <w:vAlign w:val="center"/>
          </w:tcPr>
          <w:p>
            <w:pPr>
              <w:jc w:val="center"/>
            </w:pPr>
          </w:p>
        </w:tc>
        <w:tc>
          <w:tcPr>
            <w:tcW w:w="0" w:type="auto"/>
            <w:vMerge w:val="restart"/>
            <w:vAlign w:val="center"/>
          </w:tcPr>
          <w:p>
            <w:bookmarkStart w:id="0" w:name="_Hlk133312818"/>
            <w:r>
              <w:t>学术委员会核实等级并赋分</w:t>
            </w:r>
          </w:p>
          <w:p>
            <w:r>
              <w:rPr>
                <w:rFonts w:hint="eastAsia"/>
              </w:rPr>
              <w:t>1.1国家级：由中央（国务院）颁发的奖项。包括国家科学技术进步奖、国家最高科学技术奖、中华人民共和国国际科学技术合作奖等；由国家哲学社科规划办颁发的国家社会科学基金项目优秀成果奖、由教育部颁发的国家优秀教学成果奖。</w:t>
            </w:r>
          </w:p>
          <w:p>
            <w:r>
              <w:rPr>
                <w:rFonts w:hint="eastAsia"/>
              </w:rPr>
              <w:t>省部级：国家行政部门（如：国家各部委）颁发，省级业务主管部门，如教育厅等颁发业务方面奖项。</w:t>
            </w:r>
          </w:p>
          <w:p>
            <w:r>
              <w:rPr>
                <w:rFonts w:hint="eastAsia"/>
              </w:rPr>
              <w:t xml:space="preserve">市厅级：省级行政部门和国家级业务主管部门（如：中央电化教育馆、教育部全国高校教师网络培训中心等）颁发，市级业务主管部门，如市教育局等颁发业务方面的奖项。 </w:t>
            </w:r>
          </w:p>
          <w:p>
            <w:r>
              <w:rPr>
                <w:rFonts w:hint="eastAsia"/>
              </w:rPr>
              <w:t>县区级：市级行政部门和省级业务主管部门（如：省教育厅高教处、市教育局、省教科所、河北省中小学教师继续教育中心等）颁发。</w:t>
            </w:r>
          </w:p>
          <w:p>
            <w:r>
              <w:rPr>
                <w:rFonts w:hint="eastAsia"/>
              </w:rPr>
              <w:t>校级：县级行政部门、市级所属局业务主管部门、学校颁发。</w:t>
            </w:r>
          </w:p>
          <w:p>
            <w:r>
              <w:rPr>
                <w:rFonts w:hint="eastAsia"/>
              </w:rPr>
              <w:t>[说明]</w:t>
            </w:r>
          </w:p>
          <w:p>
            <w:r>
              <w:rPr>
                <w:rFonts w:hint="eastAsia"/>
              </w:rPr>
              <w:t>1.个人业务获奖包括教学能力比赛、专业技能大赛、微课慕课制作等各级各类教学比赛，如设置特等奖，特等奖视为一等奖，其他奖项一次降一档。第一获奖人计分100%、第二获奖人50%，第三获奖人20%，第四及之后的获奖人记分为10%。若同一项目同时获得多项奖励，只按最高奖项记分，不重复记分。</w:t>
            </w:r>
          </w:p>
          <w:p>
            <w:r>
              <w:rPr>
                <w:rFonts w:hint="eastAsia"/>
              </w:rPr>
              <w:t>2. 申报者获得的校外奖项须为各级教育主管部门设立，其中不含各种学会、协会、研究会、公司、杂志社、课题组和社会团体等设立的奖项以及各类组织奖等。所有获奖成果均应有获奖证书，且经学校批准参加。</w:t>
            </w:r>
          </w:p>
          <w:p>
            <w:r>
              <w:rPr>
                <w:rFonts w:hint="eastAsia"/>
              </w:rPr>
              <w:t>3.经学校批准参加的国家、省级学会、协会、委员会等组织的重大活动获得突出成绩，可按照对应行政级别降档记分。</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9" w:type="dxa"/>
            <w:vMerge w:val="continue"/>
            <w:vAlign w:val="center"/>
          </w:tcPr>
          <w:p>
            <w:pPr>
              <w:jc w:val="center"/>
              <w:rPr>
                <w:i/>
              </w:rPr>
            </w:pPr>
          </w:p>
        </w:tc>
        <w:tc>
          <w:tcPr>
            <w:tcW w:w="774" w:type="dxa"/>
            <w:vAlign w:val="center"/>
          </w:tcPr>
          <w:p>
            <w:pPr>
              <w:jc w:val="center"/>
            </w:pPr>
            <w:r>
              <w:t>指导学生</w:t>
            </w:r>
            <w:r>
              <w:rPr>
                <w:rFonts w:hint="eastAsia"/>
              </w:rPr>
              <w:t>获奖</w:t>
            </w:r>
            <w:r>
              <w:t>情况</w:t>
            </w:r>
          </w:p>
        </w:tc>
        <w:tc>
          <w:tcPr>
            <w:tcW w:w="5254" w:type="dxa"/>
            <w:vAlign w:val="center"/>
          </w:tcPr>
          <w:p>
            <w:r>
              <w:rPr>
                <w:rFonts w:hint="eastAsia"/>
              </w:rPr>
              <w:t>省级一等奖12分，二等奖8分，三等奖6分，优秀奖3分。</w:t>
            </w:r>
          </w:p>
          <w:p>
            <w:r>
              <w:rPr>
                <w:rFonts w:hint="eastAsia"/>
              </w:rPr>
              <w:t>市级一等奖3分，二等奖2分，三等奖1分，优秀奖0.5分。</w:t>
            </w:r>
          </w:p>
          <w:p>
            <w:r>
              <w:rPr>
                <w:rFonts w:hint="eastAsia"/>
              </w:rPr>
              <w:t>校级一等奖0.5分，二等奖0.3分，三等奖0.2分，优秀奖0.1分。</w:t>
            </w:r>
          </w:p>
          <w:p>
            <w:r>
              <w:rPr>
                <w:rFonts w:hint="eastAsia"/>
              </w:rPr>
              <w:t>县级与校级等同。</w:t>
            </w:r>
          </w:p>
        </w:tc>
        <w:tc>
          <w:tcPr>
            <w:tcW w:w="0" w:type="auto"/>
            <w:vAlign w:val="center"/>
          </w:tcPr>
          <w:p>
            <w:pPr>
              <w:jc w:val="center"/>
            </w:pPr>
            <w:r>
              <w:rPr>
                <w:rFonts w:hint="eastAsia"/>
              </w:rPr>
              <w:t>12</w:t>
            </w:r>
          </w:p>
        </w:tc>
        <w:tc>
          <w:tcPr>
            <w:tcW w:w="0" w:type="auto"/>
            <w:vAlign w:val="center"/>
          </w:tcPr>
          <w:p>
            <w:pPr>
              <w:jc w:val="center"/>
            </w:pPr>
          </w:p>
        </w:tc>
        <w:tc>
          <w:tcPr>
            <w:tcW w:w="0" w:type="auto"/>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9" w:type="dxa"/>
            <w:vMerge w:val="continue"/>
            <w:vAlign w:val="center"/>
          </w:tcPr>
          <w:p>
            <w:pPr>
              <w:jc w:val="center"/>
            </w:pPr>
          </w:p>
        </w:tc>
        <w:tc>
          <w:tcPr>
            <w:tcW w:w="774" w:type="dxa"/>
            <w:vAlign w:val="center"/>
          </w:tcPr>
          <w:p>
            <w:pPr>
              <w:jc w:val="center"/>
            </w:pPr>
            <w:r>
              <w:t>教学研究</w:t>
            </w:r>
          </w:p>
        </w:tc>
        <w:tc>
          <w:tcPr>
            <w:tcW w:w="5254" w:type="dxa"/>
            <w:vAlign w:val="center"/>
          </w:tcPr>
          <w:p>
            <w:pPr>
              <w:rPr>
                <w:szCs w:val="21"/>
              </w:rPr>
            </w:pPr>
            <w:r>
              <w:rPr>
                <w:rFonts w:hint="eastAsia"/>
                <w:szCs w:val="21"/>
              </w:rPr>
              <w:t>国家级（30分）；省部级（15分）；市厅级（8分）；校级（2</w:t>
            </w:r>
            <w:bookmarkStart w:id="3" w:name="_GoBack"/>
            <w:bookmarkEnd w:id="3"/>
            <w:r>
              <w:rPr>
                <w:rFonts w:hint="eastAsia"/>
                <w:szCs w:val="21"/>
              </w:rPr>
              <w:t>分）</w:t>
            </w:r>
          </w:p>
        </w:tc>
        <w:tc>
          <w:tcPr>
            <w:tcW w:w="0" w:type="auto"/>
            <w:vAlign w:val="center"/>
          </w:tcPr>
          <w:p>
            <w:pPr>
              <w:jc w:val="center"/>
            </w:pPr>
            <w:r>
              <w:rPr>
                <w:rFonts w:hint="eastAsia"/>
              </w:rPr>
              <w:t>15</w:t>
            </w:r>
          </w:p>
        </w:tc>
        <w:tc>
          <w:tcPr>
            <w:tcW w:w="0" w:type="auto"/>
            <w:vAlign w:val="center"/>
          </w:tcPr>
          <w:p>
            <w:pPr>
              <w:jc w:val="center"/>
            </w:pPr>
          </w:p>
        </w:tc>
        <w:tc>
          <w:tcPr>
            <w:tcW w:w="0" w:type="auto"/>
            <w:vAlign w:val="center"/>
          </w:tcPr>
          <w:p>
            <w:r>
              <w:rPr>
                <w:rFonts w:hint="eastAsia"/>
              </w:rPr>
              <w:t>主持人计分100%、第二名50%，第三、第四名20%，第五及之后的记分为10%。</w:t>
            </w:r>
          </w:p>
          <w:p>
            <w:pPr>
              <w:rPr>
                <w:szCs w:val="21"/>
              </w:rPr>
            </w:pPr>
            <w:r>
              <w:rPr>
                <w:rFonts w:hint="eastAsia"/>
                <w:szCs w:val="21"/>
              </w:rPr>
              <w:t>重点专业建设、各级精品（资源共享）课程建设、专业教学资源库、创新发展行动计划项目、专业标准制定、教学标准制定等，须以正式文件为依据并在教务处备案。</w:t>
            </w:r>
          </w:p>
          <w:p/>
          <w:p>
            <w:r>
              <w:rPr>
                <w:rFonts w:hint="eastAsia"/>
                <w:szCs w:val="21"/>
              </w:rPr>
              <w:t>（以教务处备案为准）。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9" w:type="dxa"/>
            <w:vMerge w:val="restart"/>
            <w:vAlign w:val="center"/>
          </w:tcPr>
          <w:p>
            <w:pPr>
              <w:jc w:val="center"/>
            </w:pPr>
            <w:r>
              <w:t>科研业绩</w:t>
            </w:r>
          </w:p>
          <w:p>
            <w:pPr>
              <w:jc w:val="center"/>
            </w:pPr>
            <w:r>
              <w:rPr>
                <w:rFonts w:hint="eastAsia"/>
              </w:rPr>
              <w:t>（45分）</w:t>
            </w:r>
          </w:p>
        </w:tc>
        <w:tc>
          <w:tcPr>
            <w:tcW w:w="774" w:type="dxa"/>
            <w:vMerge w:val="restart"/>
            <w:vAlign w:val="center"/>
          </w:tcPr>
          <w:p>
            <w:pPr>
              <w:jc w:val="center"/>
              <w:rPr>
                <w:rFonts w:ascii="宋体" w:hAnsi="宋体" w:eastAsia="宋体" w:cs="Tahoma"/>
                <w:sz w:val="22"/>
              </w:rPr>
            </w:pPr>
            <w:r>
              <w:rPr>
                <w:rFonts w:hint="eastAsia" w:cs="Tahoma"/>
                <w:sz w:val="22"/>
              </w:rPr>
              <w:t>论文著作专利</w:t>
            </w:r>
          </w:p>
        </w:tc>
        <w:tc>
          <w:tcPr>
            <w:tcW w:w="5254" w:type="dxa"/>
            <w:shd w:val="clear" w:color="auto" w:fill="auto"/>
            <w:vAlign w:val="center"/>
          </w:tcPr>
          <w:p>
            <w:r>
              <w:rPr>
                <w:rFonts w:hint="eastAsia"/>
              </w:rPr>
              <w:t>A级（45分）：《nature》《science》等国际顶级期刊；</w:t>
            </w:r>
          </w:p>
          <w:p>
            <w:r>
              <w:rPr>
                <w:rFonts w:hint="eastAsia"/>
              </w:rPr>
              <w:t>B级（10分）：被SCI、SSCI、EI收录的论文；</w:t>
            </w:r>
          </w:p>
          <w:p>
            <w:r>
              <w:rPr>
                <w:rFonts w:hint="eastAsia"/>
              </w:rPr>
              <w:t xml:space="preserve">C级（8分）：核心期刊 </w:t>
            </w:r>
          </w:p>
          <w:p>
            <w:pPr>
              <w:rPr>
                <w:rFonts w:ascii="宋体" w:hAnsi="宋体" w:eastAsia="宋体" w:cs="Tahoma"/>
                <w:szCs w:val="21"/>
              </w:rPr>
            </w:pPr>
            <w:r>
              <w:rPr>
                <w:rFonts w:hint="eastAsia"/>
              </w:rPr>
              <w:t>D级（2分）：其余正式期刊；</w:t>
            </w:r>
          </w:p>
        </w:tc>
        <w:tc>
          <w:tcPr>
            <w:tcW w:w="0" w:type="auto"/>
            <w:vMerge w:val="restart"/>
            <w:vAlign w:val="center"/>
          </w:tcPr>
          <w:p>
            <w:pPr>
              <w:jc w:val="center"/>
            </w:pPr>
            <w:r>
              <w:rPr>
                <w:rFonts w:hint="eastAsia"/>
              </w:rPr>
              <w:t>15</w:t>
            </w:r>
          </w:p>
        </w:tc>
        <w:tc>
          <w:tcPr>
            <w:tcW w:w="0" w:type="auto"/>
            <w:vAlign w:val="center"/>
          </w:tcPr>
          <w:p>
            <w:pPr>
              <w:jc w:val="center"/>
            </w:pPr>
          </w:p>
        </w:tc>
        <w:tc>
          <w:tcPr>
            <w:tcW w:w="0" w:type="auto"/>
            <w:vAlign w:val="center"/>
          </w:tcPr>
          <w:p>
            <w:r>
              <w:rPr>
                <w:rFonts w:hint="eastAsia"/>
              </w:rPr>
              <w:t>学术委员会核实等级并赋分；备注：书评按一般论文赋分.</w:t>
            </w:r>
          </w:p>
          <w:p>
            <w:r>
              <w:rPr>
                <w:rFonts w:hint="eastAsia" w:cs="Tahoma"/>
                <w:szCs w:val="21"/>
              </w:rPr>
              <w:t>论文第一作者（含通讯作者）为满分，第二作者，第三作者分别计50%、20%，第四及以后作者不计分。</w:t>
            </w:r>
          </w:p>
          <w:p>
            <w:r>
              <w:rPr>
                <w:rFonts w:hint="eastAsia"/>
              </w:rPr>
              <w:t>【说明：①发表论文的国内期刊须有ISSN和CN刊号；②核心期刊的认定以北京大学《中文核心期刊要目总览》和南京大学《中文社会科学引文索引》的当年版本为准，除此之外的期刊不被认定为核心期刊；在核心期刊发表的艺术作品，不能够被等同认定为核心期刊论文；③发表论文的字数须在2000字以上，发表的艺术作品须占一个版面以上;④发表相关专业艺术创作作品的期刊、报纸须有正规刊号，艺术作品得分减半；⑤在内刊、增刊、副刊、专刊、特刊或论文集上发表的论文、非学术论文（如科普文章、文学作品等）、指导学生发表论文等均不予计分】</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9" w:type="dxa"/>
            <w:vMerge w:val="continue"/>
            <w:vAlign w:val="center"/>
          </w:tcPr>
          <w:p>
            <w:pPr>
              <w:jc w:val="center"/>
            </w:pPr>
          </w:p>
        </w:tc>
        <w:tc>
          <w:tcPr>
            <w:tcW w:w="774" w:type="dxa"/>
            <w:vMerge w:val="continue"/>
            <w:vAlign w:val="center"/>
          </w:tcPr>
          <w:p>
            <w:pPr>
              <w:jc w:val="center"/>
              <w:rPr>
                <w:rFonts w:cs="Tahoma"/>
                <w:sz w:val="22"/>
              </w:rPr>
            </w:pPr>
          </w:p>
        </w:tc>
        <w:tc>
          <w:tcPr>
            <w:tcW w:w="5254" w:type="dxa"/>
            <w:shd w:val="clear" w:color="auto" w:fill="auto"/>
            <w:vAlign w:val="center"/>
          </w:tcPr>
          <w:p>
            <w:pPr>
              <w:rPr>
                <w:rFonts w:cs="Tahoma"/>
                <w:szCs w:val="21"/>
              </w:rPr>
            </w:pPr>
            <w:r>
              <w:rPr>
                <w:rFonts w:hint="eastAsia" w:cs="Tahoma"/>
                <w:szCs w:val="21"/>
              </w:rPr>
              <w:t>著作（著作第一、第二、第三主编分别计100%、80%、60%，第四及以后主编得分等同于参编者；艺术作品集得分按等级标准50%折算。）：</w:t>
            </w:r>
            <w:r>
              <w:rPr>
                <w:rFonts w:hint="eastAsia" w:cs="Tahoma"/>
                <w:szCs w:val="21"/>
              </w:rPr>
              <w:br w:type="textWrapping"/>
            </w:r>
            <w:r>
              <w:rPr>
                <w:rFonts w:hint="eastAsia" w:cs="Tahoma"/>
                <w:szCs w:val="21"/>
              </w:rPr>
              <w:t>A级（15分）：独立出版专著、独立主编国家规划教材；</w:t>
            </w:r>
            <w:r>
              <w:rPr>
                <w:rFonts w:hint="eastAsia" w:cs="Tahoma"/>
                <w:szCs w:val="21"/>
              </w:rPr>
              <w:br w:type="textWrapping"/>
            </w:r>
            <w:r>
              <w:rPr>
                <w:rFonts w:hint="eastAsia" w:cs="Tahoma"/>
                <w:szCs w:val="21"/>
              </w:rPr>
              <w:t>B级（10分）：多人主编专著、多人主编国家规划教材；</w:t>
            </w:r>
            <w:r>
              <w:rPr>
                <w:rFonts w:hint="eastAsia" w:cs="Tahoma"/>
                <w:szCs w:val="21"/>
              </w:rPr>
              <w:br w:type="textWrapping"/>
            </w:r>
            <w:r>
              <w:rPr>
                <w:rFonts w:hint="eastAsia" w:cs="Tahoma"/>
                <w:szCs w:val="21"/>
              </w:rPr>
              <w:t>C级（5分）：主编编著、译著、艺术作品集；主编一般教材或参编国家规划教材；</w:t>
            </w:r>
            <w:r>
              <w:rPr>
                <w:rFonts w:hint="eastAsia" w:cs="Tahoma"/>
                <w:szCs w:val="21"/>
              </w:rPr>
              <w:br w:type="textWrapping"/>
            </w:r>
            <w:r>
              <w:rPr>
                <w:rFonts w:hint="eastAsia" w:cs="Tahoma"/>
                <w:szCs w:val="21"/>
              </w:rPr>
              <w:t>D级（3分）：参编专著、编著、译著、一般教材、艺术作品集。</w:t>
            </w:r>
          </w:p>
        </w:tc>
        <w:tc>
          <w:tcPr>
            <w:tcW w:w="0" w:type="auto"/>
            <w:vMerge w:val="continue"/>
            <w:vAlign w:val="center"/>
          </w:tcPr>
          <w:p>
            <w:pPr>
              <w:jc w:val="center"/>
            </w:pPr>
          </w:p>
        </w:tc>
        <w:tc>
          <w:tcPr>
            <w:tcW w:w="0" w:type="auto"/>
            <w:vAlign w:val="center"/>
          </w:tcPr>
          <w:p>
            <w:pPr>
              <w:jc w:val="center"/>
            </w:pPr>
          </w:p>
        </w:tc>
        <w:tc>
          <w:tcPr>
            <w:tcW w:w="0" w:type="auto"/>
            <w:vAlign w:val="center"/>
          </w:tcPr>
          <w:p>
            <w:r>
              <w:rPr>
                <w:rFonts w:hint="eastAsia"/>
              </w:rPr>
              <w:t>【说明：①国内著作须有ISBN和CIP书号，且全书不少于10万字，艺术作品类著作字数要求可降低；②副主编等同于参编者，参编者撰写字数须在1万字以上，相关专业艺术作品被收入著作须有两版以上，并在书中注明撰写的具体章节内容，如未注明需提供出版社的盖章编写证明；③主编无编写字数要求；④教参包含在教材之内，但教材与教参各自独立计分；⑤教材分多册，则整体按一套计分，不重复计分；修订版教材与前版教材只按一次积分；⑥中等职业教育教材教、中小学幼儿园的教材，练习册、习题册、实训指导书、工具书、科普读物、论文集、文学作品集、案例集、音像制品等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9" w:type="dxa"/>
            <w:vMerge w:val="continue"/>
            <w:vAlign w:val="center"/>
          </w:tcPr>
          <w:p>
            <w:pPr>
              <w:jc w:val="center"/>
            </w:pPr>
          </w:p>
        </w:tc>
        <w:tc>
          <w:tcPr>
            <w:tcW w:w="774" w:type="dxa"/>
            <w:vMerge w:val="continue"/>
            <w:vAlign w:val="center"/>
          </w:tcPr>
          <w:p>
            <w:pPr>
              <w:jc w:val="center"/>
              <w:rPr>
                <w:rFonts w:cs="Tahoma"/>
                <w:sz w:val="22"/>
              </w:rPr>
            </w:pPr>
          </w:p>
        </w:tc>
        <w:tc>
          <w:tcPr>
            <w:tcW w:w="5254" w:type="dxa"/>
            <w:shd w:val="clear" w:color="auto" w:fill="auto"/>
            <w:vAlign w:val="center"/>
          </w:tcPr>
          <w:p>
            <w:pPr>
              <w:rPr>
                <w:rFonts w:cs="Tahoma"/>
                <w:szCs w:val="21"/>
              </w:rPr>
            </w:pPr>
            <w:bookmarkStart w:id="1" w:name="_Hlk130878564"/>
            <w:r>
              <w:rPr>
                <w:rFonts w:hint="eastAsia" w:ascii="宋体" w:hAnsi="宋体" w:eastAsia="宋体" w:cs="Tahoma"/>
                <w:szCs w:val="21"/>
              </w:rPr>
              <w:t>发明专利10分；实用新型专利、软件著作权：6分；外观设计专利：4分</w:t>
            </w:r>
            <w:bookmarkEnd w:id="1"/>
          </w:p>
        </w:tc>
        <w:tc>
          <w:tcPr>
            <w:tcW w:w="0" w:type="auto"/>
            <w:vMerge w:val="continue"/>
            <w:vAlign w:val="center"/>
          </w:tcPr>
          <w:p>
            <w:pPr>
              <w:jc w:val="center"/>
            </w:pPr>
          </w:p>
        </w:tc>
        <w:tc>
          <w:tcPr>
            <w:tcW w:w="0" w:type="auto"/>
            <w:vAlign w:val="center"/>
          </w:tcPr>
          <w:p>
            <w:pPr>
              <w:jc w:val="center"/>
            </w:pPr>
          </w:p>
        </w:tc>
        <w:tc>
          <w:tcPr>
            <w:tcW w:w="0" w:type="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9" w:hRule="atLeast"/>
        </w:trPr>
        <w:tc>
          <w:tcPr>
            <w:tcW w:w="639" w:type="dxa"/>
            <w:vMerge w:val="continue"/>
            <w:vAlign w:val="center"/>
          </w:tcPr>
          <w:p>
            <w:pPr>
              <w:jc w:val="center"/>
            </w:pPr>
          </w:p>
        </w:tc>
        <w:tc>
          <w:tcPr>
            <w:tcW w:w="774" w:type="dxa"/>
            <w:vAlign w:val="center"/>
          </w:tcPr>
          <w:p>
            <w:pPr>
              <w:jc w:val="center"/>
              <w:rPr>
                <w:rFonts w:ascii="宋体" w:hAnsi="宋体" w:eastAsia="宋体" w:cs="Tahoma"/>
                <w:sz w:val="22"/>
              </w:rPr>
            </w:pPr>
            <w:r>
              <w:rPr>
                <w:rFonts w:hint="eastAsia" w:cs="Tahoma"/>
                <w:sz w:val="22"/>
              </w:rPr>
              <w:t>科研项目</w:t>
            </w:r>
          </w:p>
        </w:tc>
        <w:tc>
          <w:tcPr>
            <w:tcW w:w="5254" w:type="dxa"/>
            <w:vAlign w:val="center"/>
          </w:tcPr>
          <w:p>
            <w:pPr>
              <w:rPr>
                <w:rFonts w:cs="Tahoma"/>
                <w:sz w:val="22"/>
              </w:rPr>
            </w:pPr>
            <w:r>
              <w:rPr>
                <w:rFonts w:hint="eastAsia" w:cs="Tahoma"/>
                <w:sz w:val="22"/>
              </w:rPr>
              <w:t>国家级（30分）；省部级（15分）；市厅级（8分）；校级（1分）</w:t>
            </w:r>
          </w:p>
          <w:p>
            <w:pPr>
              <w:rPr>
                <w:rFonts w:ascii="宋体" w:hAnsi="宋体" w:eastAsia="宋体" w:cs="Tahoma"/>
                <w:sz w:val="22"/>
              </w:rPr>
            </w:pPr>
          </w:p>
        </w:tc>
        <w:tc>
          <w:tcPr>
            <w:tcW w:w="0" w:type="auto"/>
            <w:vAlign w:val="center"/>
          </w:tcPr>
          <w:p>
            <w:pPr>
              <w:jc w:val="center"/>
            </w:pPr>
            <w:r>
              <w:rPr>
                <w:rFonts w:hint="eastAsia"/>
              </w:rPr>
              <w:t>15</w:t>
            </w:r>
          </w:p>
        </w:tc>
        <w:tc>
          <w:tcPr>
            <w:tcW w:w="0" w:type="auto"/>
            <w:vAlign w:val="center"/>
          </w:tcPr>
          <w:p>
            <w:pPr>
              <w:jc w:val="center"/>
            </w:pPr>
          </w:p>
        </w:tc>
        <w:tc>
          <w:tcPr>
            <w:tcW w:w="0" w:type="auto"/>
            <w:vAlign w:val="center"/>
          </w:tcPr>
          <w:p>
            <w:r>
              <w:rPr>
                <w:rFonts w:hint="eastAsia"/>
              </w:rPr>
              <w:t>国家级：国家科技计划项目（包括国家自然科学基金项目、国家科技重大专项、国家重点研发计划项目、技术创新引导计划项目等）、国家社会科学基金项目、全国教育科学规划课题等。</w:t>
            </w:r>
          </w:p>
          <w:p>
            <w:r>
              <w:rPr>
                <w:rFonts w:hint="eastAsia"/>
              </w:rPr>
              <w:t>省部级：国家部委项目（如教育部项目、国家语委科研项目、交通运输科研项目等）、省自然科学基金项目、省科技计划项目、省社会科学基金项目、全国教育信息技术研究课题等。</w:t>
            </w:r>
          </w:p>
          <w:p>
            <w:r>
              <w:rPr>
                <w:rFonts w:hint="eastAsia"/>
              </w:rPr>
              <w:t>市厅级：省文化艺术科学规划项目、省高等学校科学研究计划项目（包括各种专项等）、省人文社会科学研究重大课题攻关项目、省高校百名优秀创新人才支持计划项目、省普通高等学校青年拔尖人才计划项目、省教育科学研究规划课题、省社会科学发展研究课题（包括省社会科学发展研究民生调研专项课题）、省人力资源和社会保障研究课题（包括省人力资源社会保障科研合作课题）、省高等教育教学改革研究项目（包括各种专项等）、市科学技术研究与发展指导计划项目、市哲学社会科学规划研究课题、市社科专家培养项目、市属高校教育科学研究项目、其他各厅局的项目、国家职业教育教学指导委员会项目（如教育部职业院校外语类专业教学指导委员会课题等）、国家级学会课题（如：中国教育学会课题、中国高等教育学会课题等）等。</w:t>
            </w:r>
          </w:p>
          <w:p>
            <w:r>
              <w:rPr>
                <w:rFonts w:hint="eastAsia"/>
              </w:rPr>
              <w:t>校级：校级科研项目、各国家级学会分会课题（如中国教育学会家庭教育专业委员会课题等）、各地方性学会课题（如：省高等教育学会课题、省高校党建研究会课题、省职业技术教育学会课题、省教育学会课题、省教师教育学会课题等）、横向科研项目（若横向项目产生了具有较大影响的研究成果，可酌情提升其认定级别）等。</w:t>
            </w:r>
          </w:p>
          <w:p>
            <w:r>
              <w:rPr>
                <w:rFonts w:hint="eastAsia"/>
              </w:rPr>
              <w:t>【说明：1非政府部门指定或授权的各行业协会、学会、研究会课题不予认定，各种以鉴定方式通过的计划外自选课题（不含省社科规划办确认课题）不予认定。</w:t>
            </w:r>
          </w:p>
          <w:p>
            <w:r>
              <w:rPr>
                <w:rFonts w:hint="eastAsia"/>
              </w:rPr>
              <w:t>2专业技术人员承担完成的课题要与其专业或岗位工作相关。</w:t>
            </w:r>
          </w:p>
          <w:p>
            <w:r>
              <w:rPr>
                <w:rFonts w:hint="eastAsia"/>
              </w:rPr>
              <w:t>3各类子课题按所属总课题立项级别降一级认定加分，已结项子课题必须提供总课题结项证明及参与总课题的相关证明材料。】</w:t>
            </w:r>
          </w:p>
          <w:p>
            <w:r>
              <w:rPr>
                <w:rFonts w:hint="eastAsia"/>
              </w:rPr>
              <w:t>主持人计分100%、第二名50%，第三名20%，第四名及之后的记分为10%。</w:t>
            </w:r>
          </w:p>
          <w:p>
            <w:r>
              <w:rPr>
                <w:rFonts w:hint="eastAsia"/>
              </w:rPr>
              <w:t>科研业绩项目，只要有国家级奖励或项目，本项即可顶格赋分。</w:t>
            </w:r>
          </w:p>
          <w:p>
            <w:r>
              <w:rPr>
                <w:rFonts w:hint="eastAsia" w:cs="Tahoma"/>
                <w:sz w:val="22"/>
              </w:rPr>
              <w:t>未结项按照50%计分，该项目在下次评职称或晋级时如果结项只计算剩余50%。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9" w:type="dxa"/>
            <w:vMerge w:val="continue"/>
            <w:vAlign w:val="center"/>
          </w:tcPr>
          <w:p>
            <w:pPr>
              <w:jc w:val="center"/>
            </w:pPr>
          </w:p>
        </w:tc>
        <w:tc>
          <w:tcPr>
            <w:tcW w:w="774" w:type="dxa"/>
            <w:vAlign w:val="center"/>
          </w:tcPr>
          <w:p>
            <w:pPr>
              <w:jc w:val="center"/>
              <w:rPr>
                <w:rFonts w:ascii="宋体" w:hAnsi="宋体" w:eastAsia="宋体" w:cs="Tahoma"/>
                <w:sz w:val="22"/>
              </w:rPr>
            </w:pPr>
            <w:r>
              <w:rPr>
                <w:rFonts w:hint="eastAsia" w:cs="Tahoma"/>
                <w:sz w:val="22"/>
              </w:rPr>
              <w:t>科研类奖励</w:t>
            </w:r>
          </w:p>
        </w:tc>
        <w:tc>
          <w:tcPr>
            <w:tcW w:w="5254" w:type="dxa"/>
            <w:vAlign w:val="center"/>
          </w:tcPr>
          <w:p>
            <w:pPr>
              <w:rPr>
                <w:rFonts w:ascii="宋体" w:hAnsi="宋体" w:eastAsia="宋体" w:cs="Tahoma"/>
                <w:sz w:val="22"/>
              </w:rPr>
            </w:pPr>
            <w:r>
              <w:rPr>
                <w:rFonts w:hint="eastAsia" w:cs="Tahoma"/>
                <w:sz w:val="22"/>
              </w:rPr>
              <w:t>国家级一、二、三等奖均记30分；省（部）级一、二、三等奖分别记10分、8分、6分；</w:t>
            </w:r>
            <w:r>
              <w:rPr>
                <w:rFonts w:hint="eastAsia" w:cs="Tahoma"/>
                <w:sz w:val="22"/>
              </w:rPr>
              <w:br w:type="textWrapping"/>
            </w:r>
            <w:r>
              <w:rPr>
                <w:rFonts w:hint="eastAsia" w:cs="Tahoma"/>
                <w:sz w:val="22"/>
              </w:rPr>
              <w:t>市（厅）级一、二、三等奖分别记5分、4分、3分；校级一、二、三等奖分别记3分、2分、1分</w:t>
            </w:r>
          </w:p>
        </w:tc>
        <w:tc>
          <w:tcPr>
            <w:tcW w:w="0" w:type="auto"/>
            <w:vAlign w:val="center"/>
          </w:tcPr>
          <w:p>
            <w:pPr>
              <w:jc w:val="center"/>
            </w:pPr>
            <w:r>
              <w:rPr>
                <w:rFonts w:hint="eastAsia"/>
              </w:rPr>
              <w:t>15</w:t>
            </w:r>
          </w:p>
        </w:tc>
        <w:tc>
          <w:tcPr>
            <w:tcW w:w="0" w:type="auto"/>
            <w:vAlign w:val="center"/>
          </w:tcPr>
          <w:p>
            <w:pPr>
              <w:jc w:val="center"/>
            </w:pPr>
          </w:p>
        </w:tc>
        <w:tc>
          <w:tcPr>
            <w:tcW w:w="0" w:type="auto"/>
            <w:vAlign w:val="center"/>
          </w:tcPr>
          <w:p>
            <w:r>
              <w:rPr>
                <w:rFonts w:hint="eastAsia"/>
              </w:rPr>
              <w:t>国家级</w:t>
            </w:r>
          </w:p>
          <w:p>
            <w:r>
              <w:rPr>
                <w:rFonts w:hint="eastAsia"/>
              </w:rPr>
              <w:t>国家级自然科学奖励主要有：国家自然科学奖、国家科技进步奖、国家技术发明奖等，国家级社会科学奖励主要有：国家社科优秀成果奖等。</w:t>
            </w:r>
          </w:p>
          <w:p>
            <w:r>
              <w:rPr>
                <w:rFonts w:hint="eastAsia"/>
              </w:rPr>
              <w:t>省（部）级</w:t>
            </w:r>
          </w:p>
          <w:p>
            <w:r>
              <w:rPr>
                <w:rFonts w:hint="eastAsia"/>
              </w:rPr>
              <w:t>省部级自然科学奖励主要有：教育部高校科学研究优秀成果奖（自然科学）、省长特别奖、省自然科学奖、省技术发明奖、省科技进步奖等，省部级社会科学奖励主要有：教育部高校科学研究优秀成果奖（社会科学）、省社科优秀成果奖、省教育科学研究优秀成果奖等。</w:t>
            </w:r>
          </w:p>
          <w:p>
            <w:r>
              <w:rPr>
                <w:rFonts w:hint="eastAsia"/>
              </w:rPr>
              <w:t>市（厅）级</w:t>
            </w:r>
          </w:p>
          <w:p>
            <w:r>
              <w:rPr>
                <w:rFonts w:hint="eastAsia"/>
              </w:rPr>
              <w:t>市厅级自然科学奖励主要有：市科技进步奖、市技术发明奖等，市厅级社会科学奖励主要有：市社科优秀成果奖等。</w:t>
            </w:r>
          </w:p>
          <w:p>
            <w:r>
              <w:rPr>
                <w:rFonts w:hint="eastAsia"/>
              </w:rPr>
              <w:t>【说明：①除上述奖项之外，由各级政府行政部门评定的科研奖项（如论文、著作、课题获奖等），下浮一级后得分相应减半，由各级政府业务部门评定的科研奖项，下浮一级后得分为原分值的四分之一；②同一项目多次获奖者，只按最高级别奖项记分；③合作完成的成果获奖，第一名记该奖项的满分，第二名及以后按名次数分之一乘以该奖项分值记分；④获奖者须提供获奖证书，获奖人员的记分范围为：以证书标注人员排序为准；⑤科研荣誉称号、特等奖等同于一等奖，优秀奖等不分类的奖等同于三等奖】</w:t>
            </w:r>
          </w:p>
        </w:tc>
      </w:tr>
    </w:tbl>
    <w:p>
      <w:pPr>
        <w:rPr>
          <w:rFonts w:asciiTheme="majorEastAsia" w:hAnsiTheme="majorEastAsia" w:eastAsiaTheme="majorEastAsia"/>
        </w:rPr>
      </w:pPr>
      <w:r>
        <w:rPr>
          <w:rFonts w:asciiTheme="majorEastAsia" w:hAnsiTheme="majorEastAsia" w:eastAsiaTheme="majorEastAsia"/>
        </w:rPr>
        <w:t>注</w:t>
      </w:r>
      <w:r>
        <w:rPr>
          <w:rFonts w:hint="eastAsia" w:asciiTheme="majorEastAsia" w:hAnsiTheme="majorEastAsia" w:eastAsiaTheme="majorEastAsia"/>
        </w:rPr>
        <w:t>：</w:t>
      </w:r>
    </w:p>
    <w:p>
      <w:r>
        <w:rPr>
          <w:rFonts w:hint="eastAsia" w:asciiTheme="majorEastAsia" w:hAnsiTheme="majorEastAsia" w:eastAsiaTheme="majorEastAsia"/>
        </w:rPr>
        <w:t>1、</w:t>
      </w:r>
      <w:r>
        <w:rPr>
          <w:rFonts w:hint="eastAsia"/>
        </w:rPr>
        <w:t>教学业绩项目，只要有国家级奖励或项目，教学业绩项即可顶格赋分。</w:t>
      </w:r>
    </w:p>
    <w:p>
      <w:pPr>
        <w:rPr>
          <w:rFonts w:asciiTheme="majorEastAsia" w:hAnsiTheme="majorEastAsia" w:eastAsiaTheme="majorEastAsia"/>
        </w:rPr>
      </w:pPr>
      <w:r>
        <w:rPr>
          <w:rFonts w:hint="eastAsia" w:asciiTheme="majorEastAsia" w:hAnsiTheme="majorEastAsia" w:eastAsiaTheme="majorEastAsia"/>
        </w:rPr>
        <w:t>2、荣誉称号和业务获奖情况类别不好区别的由学术委员会确定。</w:t>
      </w:r>
    </w:p>
    <w:p>
      <w:pPr>
        <w:rPr>
          <w:rFonts w:asciiTheme="majorEastAsia" w:hAnsiTheme="majorEastAsia" w:eastAsiaTheme="majorEastAsia"/>
        </w:rPr>
      </w:pPr>
      <w:r>
        <w:rPr>
          <w:rFonts w:hint="eastAsia" w:asciiTheme="majorEastAsia" w:hAnsiTheme="majorEastAsia" w:eastAsiaTheme="majorEastAsia"/>
        </w:rPr>
        <w:t>3、经过</w:t>
      </w:r>
      <w:bookmarkStart w:id="2" w:name="_Hlk129684893"/>
      <w:r>
        <w:rPr>
          <w:rFonts w:hint="eastAsia" w:asciiTheme="majorEastAsia" w:hAnsiTheme="majorEastAsia" w:eastAsiaTheme="majorEastAsia"/>
        </w:rPr>
        <w:t>学校统一上报的非上级主管部门</w:t>
      </w:r>
      <w:bookmarkEnd w:id="2"/>
      <w:r>
        <w:rPr>
          <w:rFonts w:hint="eastAsia" w:asciiTheme="majorEastAsia" w:hAnsiTheme="majorEastAsia" w:eastAsiaTheme="majorEastAsia"/>
        </w:rPr>
        <w:t>的教科研项目，等级降一级赋分，未经过学校统一上报的非上级主管部门的教科研项目降2级赋分，且二者都不能成为省评职称条件的基本条件。</w:t>
      </w:r>
    </w:p>
    <w:p>
      <w:pPr>
        <w:rPr>
          <w:rFonts w:asciiTheme="majorEastAsia" w:hAnsiTheme="majorEastAsia" w:eastAsiaTheme="majorEastAsia"/>
        </w:rPr>
      </w:pPr>
      <w:r>
        <w:rPr>
          <w:rFonts w:hint="eastAsia" w:asciiTheme="majorEastAsia" w:hAnsiTheme="majorEastAsia" w:eastAsiaTheme="majorEastAsia"/>
        </w:rPr>
        <w:t>4、每项满分后超出部分减半加分。</w:t>
      </w:r>
    </w:p>
    <w:p>
      <w:pPr>
        <w:rPr>
          <w:rFonts w:asciiTheme="majorEastAsia" w:hAnsiTheme="majorEastAsia" w:eastAsiaTheme="majorEastAsia"/>
        </w:rPr>
      </w:pPr>
      <w:r>
        <w:rPr>
          <w:rFonts w:hint="eastAsia" w:asciiTheme="majorEastAsia" w:hAnsiTheme="majorEastAsia" w:eastAsiaTheme="majorEastAsia"/>
        </w:rPr>
        <w:t>5、科研项目和学术成果在本方案中界定不明确的参照《保定幼儿师范高等专科学校科研项目和学术成果评价与认定方法（暂行）》认定，发表成果与本专业或本职工作必须相关，否则不予计分。</w:t>
      </w:r>
    </w:p>
    <w:p>
      <w:pPr>
        <w:rPr>
          <w:rFonts w:asciiTheme="majorEastAsia" w:hAnsiTheme="majorEastAsia" w:eastAsiaTheme="majorEastAsia"/>
        </w:rPr>
      </w:pPr>
      <w:r>
        <w:rPr>
          <w:rFonts w:hint="eastAsia" w:asciiTheme="majorEastAsia" w:hAnsiTheme="majorEastAsia" w:eastAsiaTheme="majorEastAsia"/>
        </w:rPr>
        <w:t>6、个人参与且注明工作单位为我校，学校未作为参加单位的按80%计算。</w:t>
      </w:r>
    </w:p>
    <w:p>
      <w:pPr>
        <w:rPr>
          <w:rFonts w:asciiTheme="majorEastAsia" w:hAnsiTheme="majorEastAsia" w:eastAsiaTheme="majorEastAsia"/>
        </w:rPr>
      </w:pPr>
      <w:r>
        <w:rPr>
          <w:rFonts w:hint="eastAsia" w:asciiTheme="majorEastAsia" w:hAnsiTheme="majorEastAsia" w:eastAsiaTheme="majorEastAsia"/>
        </w:rPr>
        <w:t>7、博硕期间（未注明单位为我校）参与的项目论文专利等乘以80%（引进人才除外）</w:t>
      </w:r>
    </w:p>
    <w:p>
      <w:pPr>
        <w:jc w:val="left"/>
        <w:rPr>
          <w:rFonts w:asciiTheme="majorEastAsia" w:hAnsiTheme="majorEastAsia" w:eastAsiaTheme="majorEastAsia"/>
        </w:rPr>
      </w:pPr>
      <w:r>
        <w:rPr>
          <w:rFonts w:asciiTheme="majorEastAsia" w:hAnsiTheme="majorEastAsia" w:eastAsiaTheme="majorEastAsia"/>
        </w:rPr>
        <w:t>8</w:t>
      </w:r>
      <w:r>
        <w:rPr>
          <w:rFonts w:hint="eastAsia" w:asciiTheme="majorEastAsia" w:hAnsiTheme="majorEastAsia" w:eastAsiaTheme="majorEastAsia"/>
        </w:rPr>
        <w:t>.</w:t>
      </w:r>
      <w:r>
        <w:rPr>
          <w:rFonts w:asciiTheme="majorEastAsia" w:hAnsiTheme="majorEastAsia" w:eastAsiaTheme="majorEastAsia"/>
        </w:rPr>
        <w:t xml:space="preserve"> </w:t>
      </w:r>
      <w:r>
        <w:rPr>
          <w:rFonts w:hint="eastAsia" w:asciiTheme="majorEastAsia" w:hAnsiTheme="majorEastAsia" w:eastAsiaTheme="majorEastAsia"/>
        </w:rPr>
        <w:t>薪级晋升打分材料从所任现职称开始算起。</w:t>
      </w:r>
    </w:p>
    <w:p>
      <w:r>
        <w:rPr>
          <w:rFonts w:hint="eastAsia"/>
        </w:rPr>
        <w:t>9、符合申报破格条件的按上级有关文件执行，不按此量化标准计分。</w:t>
      </w:r>
    </w:p>
    <w:p>
      <w:pPr>
        <w:rPr>
          <w:b/>
          <w:bCs/>
        </w:rPr>
      </w:pPr>
      <w:r>
        <w:rPr>
          <w:rFonts w:hint="eastAsia"/>
        </w:rPr>
        <w:t>10、本办法自印发之日起执行，由学校职称领导小组负责解释。</w:t>
      </w:r>
      <w:r>
        <w:t xml:space="preserve"> </w:t>
      </w:r>
      <w:r>
        <w:rPr>
          <w:b/>
          <w:bCs/>
        </w:rPr>
        <w:t xml:space="preserve"> </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4ZDU4Y2M4NWZlZWM5MzNlNTU3NTUxNWZiOWZiMDQifQ=="/>
  </w:docVars>
  <w:rsids>
    <w:rsidRoot w:val="009C3DE6"/>
    <w:rsid w:val="000141E3"/>
    <w:rsid w:val="000157FE"/>
    <w:rsid w:val="0005048E"/>
    <w:rsid w:val="00061A0C"/>
    <w:rsid w:val="000721BE"/>
    <w:rsid w:val="000730DF"/>
    <w:rsid w:val="000742EB"/>
    <w:rsid w:val="0009471D"/>
    <w:rsid w:val="00096EF6"/>
    <w:rsid w:val="000A4E7C"/>
    <w:rsid w:val="000C3BBA"/>
    <w:rsid w:val="000C7B03"/>
    <w:rsid w:val="000D0654"/>
    <w:rsid w:val="00104DE1"/>
    <w:rsid w:val="00197FD2"/>
    <w:rsid w:val="001A2D3C"/>
    <w:rsid w:val="001A2FA9"/>
    <w:rsid w:val="001C04AC"/>
    <w:rsid w:val="001F56D3"/>
    <w:rsid w:val="002449FB"/>
    <w:rsid w:val="00246E30"/>
    <w:rsid w:val="00252791"/>
    <w:rsid w:val="00262BE7"/>
    <w:rsid w:val="00265C67"/>
    <w:rsid w:val="002A777E"/>
    <w:rsid w:val="002C6AF8"/>
    <w:rsid w:val="002E1FFC"/>
    <w:rsid w:val="002E3E3B"/>
    <w:rsid w:val="0030441C"/>
    <w:rsid w:val="003069F7"/>
    <w:rsid w:val="003231CC"/>
    <w:rsid w:val="003417C0"/>
    <w:rsid w:val="0036432E"/>
    <w:rsid w:val="003B248F"/>
    <w:rsid w:val="003D7D24"/>
    <w:rsid w:val="003F0CF0"/>
    <w:rsid w:val="0040128C"/>
    <w:rsid w:val="004275BA"/>
    <w:rsid w:val="00467818"/>
    <w:rsid w:val="004713F0"/>
    <w:rsid w:val="0048208C"/>
    <w:rsid w:val="004A300C"/>
    <w:rsid w:val="004B2AE7"/>
    <w:rsid w:val="004C2000"/>
    <w:rsid w:val="004D6A73"/>
    <w:rsid w:val="004F1E55"/>
    <w:rsid w:val="00510D45"/>
    <w:rsid w:val="005170E7"/>
    <w:rsid w:val="005275E1"/>
    <w:rsid w:val="00537259"/>
    <w:rsid w:val="00543728"/>
    <w:rsid w:val="00544CD8"/>
    <w:rsid w:val="00551262"/>
    <w:rsid w:val="00563162"/>
    <w:rsid w:val="005759C4"/>
    <w:rsid w:val="00581E7F"/>
    <w:rsid w:val="005B4833"/>
    <w:rsid w:val="005C0E45"/>
    <w:rsid w:val="005E56F8"/>
    <w:rsid w:val="006243C3"/>
    <w:rsid w:val="00645A96"/>
    <w:rsid w:val="0066078E"/>
    <w:rsid w:val="00662699"/>
    <w:rsid w:val="0068683A"/>
    <w:rsid w:val="00691459"/>
    <w:rsid w:val="006E1ED3"/>
    <w:rsid w:val="00744C83"/>
    <w:rsid w:val="00753898"/>
    <w:rsid w:val="00756C57"/>
    <w:rsid w:val="00785731"/>
    <w:rsid w:val="007A7AC1"/>
    <w:rsid w:val="007B0690"/>
    <w:rsid w:val="007B10DF"/>
    <w:rsid w:val="007C3379"/>
    <w:rsid w:val="007D58AB"/>
    <w:rsid w:val="0082341E"/>
    <w:rsid w:val="00831947"/>
    <w:rsid w:val="00833E79"/>
    <w:rsid w:val="008356BB"/>
    <w:rsid w:val="008513A8"/>
    <w:rsid w:val="00871D99"/>
    <w:rsid w:val="00884FB6"/>
    <w:rsid w:val="008A6CEA"/>
    <w:rsid w:val="008B6426"/>
    <w:rsid w:val="008D2840"/>
    <w:rsid w:val="008D34D0"/>
    <w:rsid w:val="008D3952"/>
    <w:rsid w:val="008F7F84"/>
    <w:rsid w:val="00903400"/>
    <w:rsid w:val="009069BC"/>
    <w:rsid w:val="00915ACB"/>
    <w:rsid w:val="0093359D"/>
    <w:rsid w:val="009B6DCC"/>
    <w:rsid w:val="009C3DE6"/>
    <w:rsid w:val="009E51BE"/>
    <w:rsid w:val="009F109F"/>
    <w:rsid w:val="00A1729E"/>
    <w:rsid w:val="00A21074"/>
    <w:rsid w:val="00A42C34"/>
    <w:rsid w:val="00A5787E"/>
    <w:rsid w:val="00A6086E"/>
    <w:rsid w:val="00A67C44"/>
    <w:rsid w:val="00A704A9"/>
    <w:rsid w:val="00A758BD"/>
    <w:rsid w:val="00A8535B"/>
    <w:rsid w:val="00AA0643"/>
    <w:rsid w:val="00AA0DC7"/>
    <w:rsid w:val="00AA40F8"/>
    <w:rsid w:val="00AA53B6"/>
    <w:rsid w:val="00AF3C66"/>
    <w:rsid w:val="00AF6431"/>
    <w:rsid w:val="00B012AF"/>
    <w:rsid w:val="00B01EF4"/>
    <w:rsid w:val="00B14AC6"/>
    <w:rsid w:val="00B31A49"/>
    <w:rsid w:val="00B3308B"/>
    <w:rsid w:val="00B37785"/>
    <w:rsid w:val="00B519BD"/>
    <w:rsid w:val="00B67D6E"/>
    <w:rsid w:val="00B75AF6"/>
    <w:rsid w:val="00B77D07"/>
    <w:rsid w:val="00B93002"/>
    <w:rsid w:val="00BD2E22"/>
    <w:rsid w:val="00BE6683"/>
    <w:rsid w:val="00BF1839"/>
    <w:rsid w:val="00C1129D"/>
    <w:rsid w:val="00C372BE"/>
    <w:rsid w:val="00C43087"/>
    <w:rsid w:val="00C432D2"/>
    <w:rsid w:val="00C61DBB"/>
    <w:rsid w:val="00C67D5A"/>
    <w:rsid w:val="00C81DA0"/>
    <w:rsid w:val="00CA0EBE"/>
    <w:rsid w:val="00CA421C"/>
    <w:rsid w:val="00CC74F2"/>
    <w:rsid w:val="00D13B02"/>
    <w:rsid w:val="00D17BE2"/>
    <w:rsid w:val="00D33003"/>
    <w:rsid w:val="00D3338D"/>
    <w:rsid w:val="00D405BA"/>
    <w:rsid w:val="00D55A09"/>
    <w:rsid w:val="00D5600F"/>
    <w:rsid w:val="00D60574"/>
    <w:rsid w:val="00D7585A"/>
    <w:rsid w:val="00E02E74"/>
    <w:rsid w:val="00E06FAD"/>
    <w:rsid w:val="00E11B7C"/>
    <w:rsid w:val="00E14D94"/>
    <w:rsid w:val="00E204CD"/>
    <w:rsid w:val="00E279C9"/>
    <w:rsid w:val="00E3427F"/>
    <w:rsid w:val="00E52EA7"/>
    <w:rsid w:val="00E601C1"/>
    <w:rsid w:val="00E634F9"/>
    <w:rsid w:val="00E67CAA"/>
    <w:rsid w:val="00E93DAE"/>
    <w:rsid w:val="00E94351"/>
    <w:rsid w:val="00EA5804"/>
    <w:rsid w:val="00EA5D47"/>
    <w:rsid w:val="00EA7886"/>
    <w:rsid w:val="00EB47C0"/>
    <w:rsid w:val="00ED565E"/>
    <w:rsid w:val="00F03A70"/>
    <w:rsid w:val="00F169BA"/>
    <w:rsid w:val="00F32895"/>
    <w:rsid w:val="00F476F7"/>
    <w:rsid w:val="00F80AD4"/>
    <w:rsid w:val="00F9244D"/>
    <w:rsid w:val="00F977DF"/>
    <w:rsid w:val="00FC5EA7"/>
    <w:rsid w:val="00FD69BF"/>
    <w:rsid w:val="06051CC1"/>
    <w:rsid w:val="0A566BAA"/>
    <w:rsid w:val="0B846D2E"/>
    <w:rsid w:val="0CD9002B"/>
    <w:rsid w:val="0EBE1A58"/>
    <w:rsid w:val="11095FDB"/>
    <w:rsid w:val="24A82C85"/>
    <w:rsid w:val="2F1A353B"/>
    <w:rsid w:val="2F266982"/>
    <w:rsid w:val="33D62A89"/>
    <w:rsid w:val="35444AE5"/>
    <w:rsid w:val="3C294CBB"/>
    <w:rsid w:val="3C550043"/>
    <w:rsid w:val="42FB4FAE"/>
    <w:rsid w:val="56F33BD4"/>
    <w:rsid w:val="592F697C"/>
    <w:rsid w:val="5D3557C5"/>
    <w:rsid w:val="6DD4019D"/>
    <w:rsid w:val="7D470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6"/>
    <w:semiHidden/>
    <w:unhideWhenUsed/>
    <w:qFormat/>
    <w:uiPriority w:val="99"/>
    <w:rPr>
      <w:b/>
      <w:bCs/>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NormalCharacter"/>
    <w:qFormat/>
    <w:uiPriority w:val="0"/>
  </w:style>
  <w:style w:type="paragraph" w:customStyle="1" w:styleId="1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
    <w:name w:val="批注文字 字符"/>
    <w:basedOn w:val="8"/>
    <w:link w:val="2"/>
    <w:semiHidden/>
    <w:qFormat/>
    <w:uiPriority w:val="99"/>
    <w:rPr>
      <w:kern w:val="2"/>
      <w:sz w:val="21"/>
      <w:szCs w:val="22"/>
    </w:rPr>
  </w:style>
  <w:style w:type="character" w:customStyle="1" w:styleId="16">
    <w:name w:val="批注主题 字符"/>
    <w:basedOn w:val="15"/>
    <w:link w:val="5"/>
    <w:semiHidden/>
    <w:qFormat/>
    <w:uiPriority w:val="99"/>
    <w:rPr>
      <w:b/>
      <w:bCs/>
      <w:kern w:val="2"/>
      <w:sz w:val="21"/>
      <w:szCs w:val="22"/>
    </w:rPr>
  </w:style>
  <w:style w:type="paragraph" w:customStyle="1" w:styleId="17">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8702A-F0E3-45E9-B61F-DC43D2F52612}">
  <ds:schemaRefs/>
</ds:datastoreItem>
</file>

<file path=docProps/app.xml><?xml version="1.0" encoding="utf-8"?>
<Properties xmlns="http://schemas.openxmlformats.org/officeDocument/2006/extended-properties" xmlns:vt="http://schemas.openxmlformats.org/officeDocument/2006/docPropsVTypes">
  <Template>Normal</Template>
  <Pages>6</Pages>
  <Words>5010</Words>
  <Characters>5178</Characters>
  <Lines>38</Lines>
  <Paragraphs>10</Paragraphs>
  <TotalTime>20</TotalTime>
  <ScaleCrop>false</ScaleCrop>
  <LinksUpToDate>false</LinksUpToDate>
  <CharactersWithSpaces>5218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2023-05-16T01:10:00Z</dcterms:created>
  <dc:creator>lenovo</dc:creator>
  <cp:lastModifiedBy>张振东</cp:lastModifiedBy>
  <dcterms:modified xsi:type="dcterms:W3CDTF">2023-06-05T01:13:03Z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93F381A34F46413B929F7223A97DA88C_13</vt:lpwstr>
  </property>
</Properties>
</file>